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660" w:rsidRPr="00E15BB3" w:rsidRDefault="00EE7813" w:rsidP="00E15BB3">
      <w:pPr>
        <w:pStyle w:val="Heading1"/>
        <w:jc w:val="center"/>
        <w:rPr>
          <w:color w:val="auto"/>
        </w:rPr>
      </w:pPr>
      <w:r w:rsidRPr="00E15BB3">
        <w:rPr>
          <w:color w:val="auto"/>
        </w:rPr>
        <w:t>Confidential</w:t>
      </w:r>
    </w:p>
    <w:p w:rsidR="00EE7813" w:rsidRPr="00E15BB3" w:rsidRDefault="00EE7813" w:rsidP="00E15BB3">
      <w:pPr>
        <w:pStyle w:val="Heading2"/>
        <w:jc w:val="center"/>
        <w:rPr>
          <w:color w:val="auto"/>
        </w:rPr>
      </w:pPr>
      <w:r w:rsidRPr="00E15BB3">
        <w:rPr>
          <w:color w:val="auto"/>
        </w:rPr>
        <w:t>Schedule 1</w:t>
      </w:r>
    </w:p>
    <w:p w:rsidR="00EE7813" w:rsidRPr="00E15BB3" w:rsidRDefault="00EE7813" w:rsidP="00E15BB3">
      <w:pPr>
        <w:pStyle w:val="Heading2"/>
        <w:jc w:val="center"/>
        <w:rPr>
          <w:color w:val="auto"/>
        </w:rPr>
      </w:pPr>
      <w:r w:rsidRPr="00E15BB3">
        <w:rPr>
          <w:color w:val="auto"/>
        </w:rPr>
        <w:t>Data Processing Instructions</w:t>
      </w:r>
    </w:p>
    <w:p w:rsidR="00EE7813" w:rsidRDefault="00EE7813"/>
    <w:tbl>
      <w:tblPr>
        <w:tblStyle w:val="TableGrid"/>
        <w:tblW w:w="0" w:type="auto"/>
        <w:tblLook w:val="04A0" w:firstRow="1" w:lastRow="0" w:firstColumn="1" w:lastColumn="0" w:noHBand="0" w:noVBand="1"/>
      </w:tblPr>
      <w:tblGrid>
        <w:gridCol w:w="2263"/>
        <w:gridCol w:w="6753"/>
      </w:tblGrid>
      <w:tr w:rsidR="00EE7813" w:rsidTr="00E15BB3">
        <w:tc>
          <w:tcPr>
            <w:tcW w:w="2263" w:type="dxa"/>
          </w:tcPr>
          <w:p w:rsidR="00EE7813" w:rsidRDefault="00EE7813">
            <w:r>
              <w:t>Duration of the processing</w:t>
            </w:r>
          </w:p>
        </w:tc>
        <w:tc>
          <w:tcPr>
            <w:tcW w:w="6753" w:type="dxa"/>
          </w:tcPr>
          <w:p w:rsidR="00EE7813" w:rsidRDefault="00EE7813">
            <w:r>
              <w:t>The Data Processing Agreement will run until terminated as per clause 1.2</w:t>
            </w:r>
          </w:p>
        </w:tc>
      </w:tr>
      <w:tr w:rsidR="00EE7813" w:rsidTr="00E15BB3">
        <w:tc>
          <w:tcPr>
            <w:tcW w:w="2263" w:type="dxa"/>
          </w:tcPr>
          <w:p w:rsidR="00EE7813" w:rsidRDefault="00EE7813">
            <w:r>
              <w:t>Lawful basis for processing</w:t>
            </w:r>
          </w:p>
        </w:tc>
        <w:tc>
          <w:tcPr>
            <w:tcW w:w="6753" w:type="dxa"/>
          </w:tcPr>
          <w:p w:rsidR="00EE7813" w:rsidRDefault="00EE7813">
            <w:proofErr w:type="spellStart"/>
            <w:r>
              <w:t>Xyla</w:t>
            </w:r>
            <w:proofErr w:type="spellEnd"/>
            <w:r>
              <w:t xml:space="preserve"> </w:t>
            </w:r>
            <w:proofErr w:type="gramStart"/>
            <w:r>
              <w:t>are</w:t>
            </w:r>
            <w:proofErr w:type="gramEnd"/>
            <w:r>
              <w:t xml:space="preserve"> commissioned by Alliance Medical Limited to undertake Lung Health Checks on behalf of NHS England. For patients to access our service, we rely on health care professionals to directly refer eligible patients. To support primary care and to take some of the burden away, we can offer to send invitations via email/letter/SMS to eligible patients.</w:t>
            </w:r>
          </w:p>
        </w:tc>
      </w:tr>
      <w:tr w:rsidR="00EE7813" w:rsidTr="00E15BB3">
        <w:tc>
          <w:tcPr>
            <w:tcW w:w="2263" w:type="dxa"/>
          </w:tcPr>
          <w:p w:rsidR="00EE7813" w:rsidRDefault="00EE7813">
            <w:r>
              <w:t>Processing instructions</w:t>
            </w:r>
          </w:p>
        </w:tc>
        <w:tc>
          <w:tcPr>
            <w:tcW w:w="6753" w:type="dxa"/>
          </w:tcPr>
          <w:p w:rsidR="00EE7813" w:rsidRDefault="00EE7813">
            <w:r>
              <w:t xml:space="preserve">The GP Practice will share a file containing eligible patients. </w:t>
            </w:r>
            <w:proofErr w:type="spellStart"/>
            <w:r>
              <w:t>Xyla</w:t>
            </w:r>
            <w:proofErr w:type="spellEnd"/>
            <w:r>
              <w:t xml:space="preserve"> will then invite the eligible patients by letter to invite them to attend a lung health </w:t>
            </w:r>
            <w:proofErr w:type="spellStart"/>
            <w:r>
              <w:t>check</w:t>
            </w:r>
            <w:proofErr w:type="spellEnd"/>
            <w:r>
              <w:t xml:space="preserve"> review. </w:t>
            </w:r>
            <w:proofErr w:type="spellStart"/>
            <w:r>
              <w:t>Xyla</w:t>
            </w:r>
            <w:proofErr w:type="spellEnd"/>
            <w:r>
              <w:t xml:space="preserve"> will also contact eligible patients by phone or SMS.</w:t>
            </w:r>
          </w:p>
          <w:p w:rsidR="00EE7813" w:rsidRDefault="00EE7813"/>
          <w:p w:rsidR="00EE7813" w:rsidRDefault="00EE7813">
            <w:proofErr w:type="spellStart"/>
            <w:r>
              <w:t>Xyla</w:t>
            </w:r>
            <w:proofErr w:type="spellEnd"/>
            <w:r>
              <w:t xml:space="preserve"> will then undertake the lung health check appointment with those eligible patients who have accepted the invite and meet the national criteria.</w:t>
            </w:r>
          </w:p>
          <w:p w:rsidR="00EE7813" w:rsidRDefault="00EE7813">
            <w:proofErr w:type="spellStart"/>
            <w:r>
              <w:t>Xyla</w:t>
            </w:r>
            <w:proofErr w:type="spellEnd"/>
            <w:r>
              <w:t xml:space="preserve"> will then refer those eligible patients for a low dose </w:t>
            </w:r>
            <w:proofErr w:type="gramStart"/>
            <w:r>
              <w:t>CT Scan</w:t>
            </w:r>
            <w:proofErr w:type="gramEnd"/>
            <w:r>
              <w:t xml:space="preserve"> which is delivered by Alliance Medical Limited.</w:t>
            </w:r>
          </w:p>
        </w:tc>
      </w:tr>
      <w:tr w:rsidR="00EE7813" w:rsidTr="00E15BB3">
        <w:tc>
          <w:tcPr>
            <w:tcW w:w="2263" w:type="dxa"/>
          </w:tcPr>
          <w:p w:rsidR="00EE7813" w:rsidRDefault="00EE7813">
            <w:r>
              <w:t>Location of processing</w:t>
            </w:r>
          </w:p>
        </w:tc>
        <w:tc>
          <w:tcPr>
            <w:tcW w:w="6753" w:type="dxa"/>
          </w:tcPr>
          <w:p w:rsidR="00EE7813" w:rsidRDefault="00E15BB3">
            <w:r>
              <w:t xml:space="preserve">The processing will take place at </w:t>
            </w:r>
            <w:proofErr w:type="spellStart"/>
            <w:r>
              <w:t>Xyla</w:t>
            </w:r>
            <w:proofErr w:type="spellEnd"/>
            <w:r>
              <w:t xml:space="preserve"> offices.</w:t>
            </w:r>
          </w:p>
        </w:tc>
      </w:tr>
      <w:tr w:rsidR="00EE7813" w:rsidTr="00E15BB3">
        <w:tc>
          <w:tcPr>
            <w:tcW w:w="2263" w:type="dxa"/>
          </w:tcPr>
          <w:p w:rsidR="00EE7813" w:rsidRDefault="00EE7813">
            <w:r>
              <w:t>Countries</w:t>
            </w:r>
          </w:p>
        </w:tc>
        <w:tc>
          <w:tcPr>
            <w:tcW w:w="6753" w:type="dxa"/>
          </w:tcPr>
          <w:p w:rsidR="00EE7813" w:rsidRDefault="00E15BB3">
            <w:r>
              <w:t>United Kingdom only.</w:t>
            </w:r>
          </w:p>
        </w:tc>
      </w:tr>
      <w:tr w:rsidR="00EE7813" w:rsidTr="00E15BB3">
        <w:tc>
          <w:tcPr>
            <w:tcW w:w="2263" w:type="dxa"/>
          </w:tcPr>
          <w:p w:rsidR="00EE7813" w:rsidRDefault="00EE7813">
            <w:r>
              <w:t>Type of Personal Data</w:t>
            </w:r>
          </w:p>
        </w:tc>
        <w:tc>
          <w:tcPr>
            <w:tcW w:w="6753" w:type="dxa"/>
          </w:tcPr>
          <w:p w:rsidR="00EE7813" w:rsidRDefault="00E15BB3">
            <w:r>
              <w:t>First Name</w:t>
            </w:r>
          </w:p>
          <w:p w:rsidR="00E15BB3" w:rsidRDefault="00E15BB3">
            <w:r>
              <w:t>Surname</w:t>
            </w:r>
          </w:p>
          <w:p w:rsidR="00E15BB3" w:rsidRDefault="00E15BB3">
            <w:r>
              <w:t>Title</w:t>
            </w:r>
          </w:p>
          <w:p w:rsidR="00E15BB3" w:rsidRDefault="00E15BB3">
            <w:r>
              <w:t>Address</w:t>
            </w:r>
          </w:p>
          <w:p w:rsidR="00E15BB3" w:rsidRDefault="00E15BB3">
            <w:r>
              <w:t>Telephone contact number</w:t>
            </w:r>
          </w:p>
          <w:p w:rsidR="00E15BB3" w:rsidRDefault="00E15BB3">
            <w:r>
              <w:t>Sex</w:t>
            </w:r>
          </w:p>
          <w:p w:rsidR="00E15BB3" w:rsidRDefault="00E15BB3">
            <w:r>
              <w:t>Date of Birth</w:t>
            </w:r>
          </w:p>
          <w:p w:rsidR="00E15BB3" w:rsidRDefault="00E15BB3">
            <w:r>
              <w:t>Age in Years</w:t>
            </w:r>
          </w:p>
          <w:p w:rsidR="00E15BB3" w:rsidRDefault="00E15BB3">
            <w:r>
              <w:t>NHS Number</w:t>
            </w:r>
          </w:p>
          <w:p w:rsidR="00E15BB3" w:rsidRDefault="00E15BB3">
            <w:r>
              <w:t>Email address</w:t>
            </w:r>
          </w:p>
          <w:p w:rsidR="00E15BB3" w:rsidRDefault="00E15BB3">
            <w:r>
              <w:t>Patients first language</w:t>
            </w:r>
          </w:p>
          <w:p w:rsidR="00E15BB3" w:rsidRDefault="00E15BB3">
            <w:r>
              <w:t>Does the patient speak English?</w:t>
            </w:r>
          </w:p>
          <w:p w:rsidR="00E15BB3" w:rsidRDefault="00E15BB3">
            <w:r>
              <w:t>Does the patient have any disabilities?</w:t>
            </w:r>
          </w:p>
          <w:p w:rsidR="00E15BB3" w:rsidRDefault="00E15BB3">
            <w:r>
              <w:lastRenderedPageBreak/>
              <w:t xml:space="preserve">Does the patient have any accessible requirements? i.e. </w:t>
            </w:r>
            <w:proofErr w:type="gramStart"/>
            <w:r>
              <w:t>Large</w:t>
            </w:r>
            <w:proofErr w:type="gramEnd"/>
            <w:r>
              <w:t xml:space="preserve"> font, braille etc..</w:t>
            </w:r>
          </w:p>
        </w:tc>
      </w:tr>
      <w:tr w:rsidR="00EE7813" w:rsidTr="00E15BB3">
        <w:tc>
          <w:tcPr>
            <w:tcW w:w="2263" w:type="dxa"/>
          </w:tcPr>
          <w:p w:rsidR="00EE7813" w:rsidRDefault="00EE7813">
            <w:r>
              <w:lastRenderedPageBreak/>
              <w:t>Categories of Data Subjects</w:t>
            </w:r>
          </w:p>
        </w:tc>
        <w:tc>
          <w:tcPr>
            <w:tcW w:w="6753" w:type="dxa"/>
          </w:tcPr>
          <w:p w:rsidR="00EE7813" w:rsidRDefault="00E15BB3">
            <w:r>
              <w:t>GP practice patents</w:t>
            </w:r>
          </w:p>
        </w:tc>
      </w:tr>
      <w:tr w:rsidR="00EE7813" w:rsidTr="00E15BB3">
        <w:tc>
          <w:tcPr>
            <w:tcW w:w="2263" w:type="dxa"/>
          </w:tcPr>
          <w:p w:rsidR="00EE7813" w:rsidRDefault="00EE7813">
            <w:r>
              <w:t>Sensitive/Special Categories of personal data</w:t>
            </w:r>
          </w:p>
        </w:tc>
        <w:tc>
          <w:tcPr>
            <w:tcW w:w="6753" w:type="dxa"/>
          </w:tcPr>
          <w:p w:rsidR="00EE7813" w:rsidRDefault="00E15BB3">
            <w:r>
              <w:t>Health data</w:t>
            </w:r>
          </w:p>
          <w:p w:rsidR="00E15BB3" w:rsidRDefault="00E15BB3">
            <w:r>
              <w:t>Equal opportunities data</w:t>
            </w:r>
          </w:p>
        </w:tc>
      </w:tr>
      <w:tr w:rsidR="00EE7813" w:rsidTr="00E15BB3">
        <w:tc>
          <w:tcPr>
            <w:tcW w:w="2263" w:type="dxa"/>
          </w:tcPr>
          <w:p w:rsidR="00EE7813" w:rsidRDefault="00EE7813">
            <w:r>
              <w:t>Approved subcontractors</w:t>
            </w:r>
          </w:p>
        </w:tc>
        <w:tc>
          <w:tcPr>
            <w:tcW w:w="6753" w:type="dxa"/>
          </w:tcPr>
          <w:p w:rsidR="00EE7813" w:rsidRDefault="00E15BB3">
            <w:r>
              <w:t>N/A</w:t>
            </w:r>
          </w:p>
        </w:tc>
      </w:tr>
    </w:tbl>
    <w:p w:rsidR="00EE7813" w:rsidRDefault="00EE7813"/>
    <w:sectPr w:rsidR="00EE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3"/>
    <w:rsid w:val="000173CC"/>
    <w:rsid w:val="001B2268"/>
    <w:rsid w:val="004A0660"/>
    <w:rsid w:val="00755ABB"/>
    <w:rsid w:val="00E15BB3"/>
    <w:rsid w:val="00EE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F74F21"/>
  <w15:chartTrackingRefBased/>
  <w15:docId w15:val="{B22EBA58-A452-0A46-82D4-01002AB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CC"/>
  </w:style>
  <w:style w:type="paragraph" w:styleId="Heading1">
    <w:name w:val="heading 1"/>
    <w:basedOn w:val="Normal"/>
    <w:next w:val="Normal"/>
    <w:link w:val="Heading1Char"/>
    <w:uiPriority w:val="9"/>
    <w:qFormat/>
    <w:rsid w:val="000173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173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73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73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73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73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173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73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73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73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73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CC"/>
    <w:rPr>
      <w:rFonts w:eastAsiaTheme="majorEastAsia" w:cstheme="majorBidi"/>
      <w:color w:val="272727" w:themeColor="text1" w:themeTint="D8"/>
    </w:rPr>
  </w:style>
  <w:style w:type="paragraph" w:styleId="Title">
    <w:name w:val="Title"/>
    <w:basedOn w:val="Normal"/>
    <w:next w:val="Normal"/>
    <w:link w:val="TitleChar"/>
    <w:uiPriority w:val="10"/>
    <w:qFormat/>
    <w:rsid w:val="000173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CC"/>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0173CC"/>
    <w:pPr>
      <w:ind w:left="720"/>
      <w:contextualSpacing/>
    </w:pPr>
  </w:style>
  <w:style w:type="paragraph" w:styleId="Quote">
    <w:name w:val="Quote"/>
    <w:basedOn w:val="Normal"/>
    <w:next w:val="Normal"/>
    <w:link w:val="QuoteChar"/>
    <w:uiPriority w:val="29"/>
    <w:qFormat/>
    <w:rsid w:val="000173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73CC"/>
    <w:rPr>
      <w:i/>
      <w:iCs/>
      <w:color w:val="404040" w:themeColor="text1" w:themeTint="BF"/>
    </w:rPr>
  </w:style>
  <w:style w:type="paragraph" w:styleId="IntenseQuote">
    <w:name w:val="Intense Quote"/>
    <w:basedOn w:val="Normal"/>
    <w:next w:val="Normal"/>
    <w:link w:val="IntenseQuoteChar"/>
    <w:uiPriority w:val="30"/>
    <w:qFormat/>
    <w:rsid w:val="00017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73CC"/>
    <w:rPr>
      <w:i/>
      <w:iCs/>
      <w:color w:val="2F5496" w:themeColor="accent1" w:themeShade="BF"/>
    </w:rPr>
  </w:style>
  <w:style w:type="character" w:styleId="IntenseEmphasis">
    <w:name w:val="Intense Emphasis"/>
    <w:basedOn w:val="DefaultParagraphFont"/>
    <w:uiPriority w:val="21"/>
    <w:qFormat/>
    <w:rsid w:val="000173CC"/>
    <w:rPr>
      <w:i/>
      <w:iCs/>
      <w:color w:val="2F5496" w:themeColor="accent1" w:themeShade="BF"/>
    </w:rPr>
  </w:style>
  <w:style w:type="character" w:styleId="IntenseReference">
    <w:name w:val="Intense Reference"/>
    <w:basedOn w:val="DefaultParagraphFont"/>
    <w:uiPriority w:val="32"/>
    <w:qFormat/>
    <w:rsid w:val="000173CC"/>
    <w:rPr>
      <w:b/>
      <w:bCs/>
      <w:smallCaps/>
      <w:color w:val="2F5496" w:themeColor="accent1" w:themeShade="BF"/>
      <w:spacing w:val="5"/>
    </w:rPr>
  </w:style>
  <w:style w:type="table" w:styleId="TableGrid">
    <w:name w:val="Table Grid"/>
    <w:basedOn w:val="TableNormal"/>
    <w:uiPriority w:val="39"/>
    <w:rsid w:val="00EE7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Jones</dc:creator>
  <cp:keywords/>
  <dc:description/>
  <cp:lastModifiedBy>Darren Jones</cp:lastModifiedBy>
  <cp:revision>1</cp:revision>
  <dcterms:created xsi:type="dcterms:W3CDTF">2024-06-25T08:34:00Z</dcterms:created>
  <dcterms:modified xsi:type="dcterms:W3CDTF">2024-06-25T08:47:00Z</dcterms:modified>
</cp:coreProperties>
</file>